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2C8B7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43EADAC3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23D75338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16A03FCC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1CBC2E48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7A484A55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42589856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5BD90603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2FC89B13" w14:textId="77777777" w:rsidR="005E4792" w:rsidRDefault="005E4792" w:rsidP="005E4792">
      <w:pPr>
        <w:jc w:val="center"/>
        <w:rPr>
          <w:b/>
          <w:sz w:val="36"/>
          <w:szCs w:val="36"/>
        </w:rPr>
      </w:pPr>
    </w:p>
    <w:p w14:paraId="3DF1F6A7" w14:textId="15350CA4" w:rsidR="00A34E97" w:rsidRDefault="005E4792" w:rsidP="005E4792">
      <w:pPr>
        <w:jc w:val="center"/>
        <w:rPr>
          <w:b/>
          <w:sz w:val="36"/>
          <w:szCs w:val="36"/>
        </w:rPr>
      </w:pPr>
      <w:r w:rsidRPr="005E4792">
        <w:rPr>
          <w:b/>
          <w:sz w:val="36"/>
          <w:szCs w:val="36"/>
        </w:rPr>
        <w:t>NEUROPATÍA MOTORA</w:t>
      </w:r>
      <w:r w:rsidR="00E772B8" w:rsidRPr="00E772B8">
        <w:rPr>
          <w:b/>
          <w:sz w:val="36"/>
          <w:szCs w:val="36"/>
        </w:rPr>
        <w:t xml:space="preserve"> </w:t>
      </w:r>
      <w:r w:rsidR="00E772B8" w:rsidRPr="005E4792">
        <w:rPr>
          <w:b/>
          <w:sz w:val="36"/>
          <w:szCs w:val="36"/>
        </w:rPr>
        <w:t>HEREDITARIA</w:t>
      </w:r>
    </w:p>
    <w:p w14:paraId="01967CF2" w14:textId="77777777" w:rsidR="005E4792" w:rsidRDefault="005E4792" w:rsidP="005E4792">
      <w:pPr>
        <w:jc w:val="center"/>
      </w:pPr>
    </w:p>
    <w:p w14:paraId="0543FB61" w14:textId="77777777" w:rsidR="005E4792" w:rsidRDefault="005E4792" w:rsidP="005E4792">
      <w:pPr>
        <w:jc w:val="center"/>
      </w:pPr>
    </w:p>
    <w:p w14:paraId="1C0F69D6" w14:textId="77777777" w:rsidR="005E4792" w:rsidRDefault="005E4792" w:rsidP="005E4792">
      <w:pPr>
        <w:jc w:val="center"/>
      </w:pPr>
    </w:p>
    <w:p w14:paraId="165C06E6" w14:textId="77777777" w:rsidR="005E4792" w:rsidRDefault="005E4792" w:rsidP="005E4792">
      <w:pPr>
        <w:jc w:val="center"/>
      </w:pPr>
    </w:p>
    <w:p w14:paraId="63816E88" w14:textId="77777777" w:rsidR="005E4792" w:rsidRDefault="005E4792" w:rsidP="005E4792">
      <w:pPr>
        <w:jc w:val="center"/>
      </w:pPr>
    </w:p>
    <w:p w14:paraId="777A5475" w14:textId="77777777" w:rsidR="005E4792" w:rsidRDefault="005E4792" w:rsidP="005E4792">
      <w:pPr>
        <w:jc w:val="center"/>
      </w:pPr>
    </w:p>
    <w:p w14:paraId="2B0712C7" w14:textId="77777777" w:rsidR="005E4792" w:rsidRDefault="005E4792" w:rsidP="005E4792">
      <w:pPr>
        <w:jc w:val="center"/>
      </w:pPr>
    </w:p>
    <w:p w14:paraId="496822F3" w14:textId="77777777" w:rsidR="005E4792" w:rsidRDefault="005E4792" w:rsidP="005E4792">
      <w:pPr>
        <w:jc w:val="center"/>
      </w:pPr>
    </w:p>
    <w:p w14:paraId="3B11A922" w14:textId="77777777" w:rsidR="005E4792" w:rsidRDefault="005E4792" w:rsidP="005E4792">
      <w:pPr>
        <w:jc w:val="center"/>
      </w:pPr>
    </w:p>
    <w:p w14:paraId="2F924390" w14:textId="77777777" w:rsidR="005E4792" w:rsidRDefault="005E4792" w:rsidP="005E4792">
      <w:pPr>
        <w:jc w:val="center"/>
      </w:pPr>
    </w:p>
    <w:p w14:paraId="1936A65C" w14:textId="77777777" w:rsidR="005E4792" w:rsidRDefault="005E4792" w:rsidP="005E4792">
      <w:pPr>
        <w:jc w:val="center"/>
      </w:pPr>
    </w:p>
    <w:p w14:paraId="6098CFFE" w14:textId="77777777" w:rsidR="005E4792" w:rsidRDefault="005E4792" w:rsidP="005E4792">
      <w:pPr>
        <w:jc w:val="center"/>
      </w:pPr>
    </w:p>
    <w:p w14:paraId="6170226E" w14:textId="77777777" w:rsidR="005E4792" w:rsidRDefault="005E4792" w:rsidP="005E4792">
      <w:pPr>
        <w:jc w:val="center"/>
      </w:pPr>
    </w:p>
    <w:p w14:paraId="25E5CA07" w14:textId="77777777" w:rsidR="005E4792" w:rsidRDefault="005E4792" w:rsidP="005E4792">
      <w:pPr>
        <w:jc w:val="center"/>
      </w:pPr>
    </w:p>
    <w:p w14:paraId="7B842FE1" w14:textId="77777777" w:rsidR="005E4792" w:rsidRDefault="005E4792" w:rsidP="005E4792">
      <w:pPr>
        <w:jc w:val="center"/>
      </w:pPr>
    </w:p>
    <w:p w14:paraId="192DB391" w14:textId="77777777" w:rsidR="005E4792" w:rsidRDefault="005E4792" w:rsidP="005E4792">
      <w:pPr>
        <w:jc w:val="center"/>
      </w:pPr>
    </w:p>
    <w:p w14:paraId="094E79A7" w14:textId="77777777" w:rsidR="005E4792" w:rsidRDefault="005E4792" w:rsidP="005E4792">
      <w:pPr>
        <w:jc w:val="center"/>
      </w:pPr>
    </w:p>
    <w:p w14:paraId="229DA315" w14:textId="77777777" w:rsidR="005E4792" w:rsidRDefault="005E4792" w:rsidP="005E4792">
      <w:pPr>
        <w:jc w:val="center"/>
      </w:pPr>
    </w:p>
    <w:p w14:paraId="148624F0" w14:textId="77777777" w:rsidR="005E4792" w:rsidRDefault="005E4792" w:rsidP="005E4792">
      <w:pPr>
        <w:jc w:val="center"/>
      </w:pPr>
    </w:p>
    <w:p w14:paraId="7943C986" w14:textId="77777777" w:rsidR="005E4792" w:rsidRDefault="005E4792" w:rsidP="005E4792">
      <w:pPr>
        <w:jc w:val="center"/>
      </w:pPr>
    </w:p>
    <w:p w14:paraId="38971EAE" w14:textId="77777777" w:rsidR="005E4792" w:rsidRDefault="005E4792" w:rsidP="005E4792">
      <w:pPr>
        <w:jc w:val="center"/>
      </w:pPr>
    </w:p>
    <w:p w14:paraId="1880BC93" w14:textId="77777777" w:rsidR="005E4792" w:rsidRDefault="005E4792" w:rsidP="005E4792">
      <w:pPr>
        <w:jc w:val="center"/>
      </w:pPr>
    </w:p>
    <w:p w14:paraId="1DCF1232" w14:textId="77777777" w:rsidR="005E4792" w:rsidRDefault="005E4792" w:rsidP="005E4792">
      <w:pPr>
        <w:jc w:val="center"/>
      </w:pPr>
    </w:p>
    <w:p w14:paraId="2BF9C3E2" w14:textId="77777777" w:rsidR="005E4792" w:rsidRDefault="005E4792" w:rsidP="005E4792">
      <w:pPr>
        <w:jc w:val="center"/>
      </w:pPr>
    </w:p>
    <w:p w14:paraId="27DC8607" w14:textId="77777777" w:rsidR="005E4792" w:rsidRDefault="005E4792" w:rsidP="005E4792">
      <w:pPr>
        <w:jc w:val="center"/>
      </w:pPr>
    </w:p>
    <w:p w14:paraId="520E749D" w14:textId="77777777" w:rsidR="005E4792" w:rsidRDefault="005E4792" w:rsidP="005E4792">
      <w:pPr>
        <w:jc w:val="center"/>
      </w:pPr>
    </w:p>
    <w:p w14:paraId="0F9C7C1C" w14:textId="77777777" w:rsidR="00BF2F28" w:rsidRDefault="00BF2F28" w:rsidP="005E4792">
      <w:pPr>
        <w:jc w:val="center"/>
      </w:pPr>
    </w:p>
    <w:p w14:paraId="0152062F" w14:textId="77777777" w:rsidR="00BF2F28" w:rsidRDefault="00BF2F28" w:rsidP="005E4792">
      <w:pPr>
        <w:jc w:val="center"/>
      </w:pPr>
    </w:p>
    <w:p w14:paraId="42C3DB8B" w14:textId="77777777" w:rsidR="00BF2F28" w:rsidRDefault="00BF2F28" w:rsidP="005E4792">
      <w:pPr>
        <w:jc w:val="center"/>
      </w:pPr>
    </w:p>
    <w:p w14:paraId="1A817F9C" w14:textId="77777777" w:rsidR="00A82ECF" w:rsidRDefault="00A82ECF" w:rsidP="005E4792">
      <w:pPr>
        <w:jc w:val="center"/>
      </w:pPr>
    </w:p>
    <w:p w14:paraId="7509459B" w14:textId="77777777" w:rsidR="00A82ECF" w:rsidRDefault="00A82ECF" w:rsidP="005E4792">
      <w:pPr>
        <w:jc w:val="center"/>
      </w:pPr>
    </w:p>
    <w:p w14:paraId="7FC04583" w14:textId="77777777" w:rsidR="00A82ECF" w:rsidRDefault="00A82ECF" w:rsidP="005E4792">
      <w:pPr>
        <w:jc w:val="center"/>
      </w:pPr>
    </w:p>
    <w:p w14:paraId="0E37BCB0" w14:textId="77777777" w:rsidR="00A82ECF" w:rsidRDefault="00A82ECF" w:rsidP="005E4792">
      <w:pPr>
        <w:jc w:val="center"/>
      </w:pPr>
    </w:p>
    <w:p w14:paraId="0B4E566D" w14:textId="77777777" w:rsidR="00A82ECF" w:rsidRDefault="00A82ECF" w:rsidP="005E4792">
      <w:pPr>
        <w:jc w:val="center"/>
      </w:pPr>
    </w:p>
    <w:p w14:paraId="6ECA2C40" w14:textId="77777777" w:rsidR="005E4792" w:rsidRDefault="005E4792" w:rsidP="005E4792">
      <w:pPr>
        <w:jc w:val="center"/>
      </w:pPr>
    </w:p>
    <w:p w14:paraId="5D1086DD" w14:textId="77777777" w:rsidR="005E4792" w:rsidRPr="00646DC5" w:rsidRDefault="005E4792" w:rsidP="005E4792">
      <w:pPr>
        <w:jc w:val="center"/>
        <w:rPr>
          <w:b/>
          <w:u w:val="single"/>
        </w:rPr>
      </w:pPr>
      <w:r w:rsidRPr="00646DC5">
        <w:rPr>
          <w:b/>
          <w:u w:val="single"/>
        </w:rPr>
        <w:t>NEUROPATÍA MOTORA HEREDITARIA</w:t>
      </w:r>
    </w:p>
    <w:p w14:paraId="5E12B09D" w14:textId="77777777" w:rsidR="005E4792" w:rsidRDefault="005E4792" w:rsidP="005E4792">
      <w:pPr>
        <w:jc w:val="center"/>
      </w:pPr>
    </w:p>
    <w:p w14:paraId="786F569C" w14:textId="77777777" w:rsidR="00C033C2" w:rsidRDefault="001508D6" w:rsidP="00C033C2">
      <w:r>
        <w:t xml:space="preserve">La NHMD conforman un grupo de enfermedades genéticamente heterogéneo, caracterizado por </w:t>
      </w:r>
      <w:r w:rsidRPr="00646DC5">
        <w:rPr>
          <w:b/>
        </w:rPr>
        <w:t xml:space="preserve">atrofia muscular </w:t>
      </w:r>
      <w:proofErr w:type="spellStart"/>
      <w:r w:rsidRPr="00646DC5">
        <w:rPr>
          <w:b/>
        </w:rPr>
        <w:t>peroneal</w:t>
      </w:r>
      <w:proofErr w:type="spellEnd"/>
      <w:r>
        <w:t xml:space="preserve"> sin déficit sensitivo</w:t>
      </w:r>
      <w:r w:rsidR="00C033C2">
        <w:t xml:space="preserve">; asociando otras características como </w:t>
      </w:r>
      <w:proofErr w:type="spellStart"/>
      <w:r w:rsidR="00C033C2">
        <w:t>paresia</w:t>
      </w:r>
      <w:proofErr w:type="spellEnd"/>
      <w:r w:rsidR="00C033C2">
        <w:t xml:space="preserve"> de cuerdas vocales, </w:t>
      </w:r>
      <w:proofErr w:type="spellStart"/>
      <w:r w:rsidR="00C033C2">
        <w:t>piramidalismo</w:t>
      </w:r>
      <w:proofErr w:type="spellEnd"/>
      <w:r w:rsidR="00C033C2">
        <w:t xml:space="preserve"> y </w:t>
      </w:r>
      <w:r w:rsidR="00C033C2" w:rsidRPr="00646DC5">
        <w:t>pies cavos</w:t>
      </w:r>
      <w:r w:rsidR="00C033C2">
        <w:t>. E</w:t>
      </w:r>
      <w:r>
        <w:t xml:space="preserve">l pilar fundamental es el de una </w:t>
      </w:r>
      <w:r w:rsidRPr="00646DC5">
        <w:rPr>
          <w:b/>
        </w:rPr>
        <w:t>neuropatía longitud-dependiente muy lentamente progresiva</w:t>
      </w:r>
      <w:r>
        <w:t>, de inicio en las dos primeras décadas de l</w:t>
      </w:r>
      <w:r w:rsidR="00C033C2">
        <w:t xml:space="preserve">a vida, </w:t>
      </w:r>
      <w:r>
        <w:t xml:space="preserve">aunque no es infrecuente el inicio en la tercera década. </w:t>
      </w:r>
    </w:p>
    <w:p w14:paraId="625A967B" w14:textId="77777777" w:rsidR="00C033C2" w:rsidRDefault="00C033C2" w:rsidP="00C033C2"/>
    <w:p w14:paraId="484BD79B" w14:textId="2F863529" w:rsidR="00C033C2" w:rsidRPr="00750B88" w:rsidRDefault="00305F7C" w:rsidP="00C033C2">
      <w:proofErr w:type="spellStart"/>
      <w:r>
        <w:t>Basandose</w:t>
      </w:r>
      <w:proofErr w:type="spellEnd"/>
      <w:r w:rsidR="00C033C2" w:rsidRPr="00750B88">
        <w:t xml:space="preserve"> en la edad de inicio, tipo de herencia y otras características asociadas se dividen en 7 tipos diferentes </w:t>
      </w:r>
      <w:r w:rsidR="00C033C2">
        <w:t>(Tabla 1</w:t>
      </w:r>
      <w:r w:rsidR="00C033C2" w:rsidRPr="00750B88">
        <w:t xml:space="preserve">) Se han </w:t>
      </w:r>
      <w:r w:rsidR="00C033C2">
        <w:t>identificado mutaciones en 11</w:t>
      </w:r>
      <w:r w:rsidR="00C033C2" w:rsidRPr="00750B88">
        <w:t xml:space="preserve"> genes responsables de NHMD</w:t>
      </w:r>
      <w:r w:rsidR="00C033C2">
        <w:t xml:space="preserve"> (</w:t>
      </w:r>
      <w:proofErr w:type="spellStart"/>
      <w:r w:rsidR="00C033C2">
        <w:t>Rossor</w:t>
      </w:r>
      <w:proofErr w:type="spellEnd"/>
      <w:r w:rsidR="00C033C2">
        <w:t xml:space="preserve"> et al., 2012</w:t>
      </w:r>
      <w:r w:rsidR="00C033C2" w:rsidRPr="00750B88">
        <w:t>), en un estudio exhaustivo de una cohorte de más de 100 casos, se hallaron mutaciones responsables en el 15% de los casos (</w:t>
      </w:r>
      <w:proofErr w:type="spellStart"/>
      <w:r w:rsidR="00C033C2" w:rsidRPr="00750B88">
        <w:t>Dierick</w:t>
      </w:r>
      <w:proofErr w:type="spellEnd"/>
      <w:r w:rsidR="00C033C2" w:rsidRPr="00750B88">
        <w:t xml:space="preserve"> et al., 2008</w:t>
      </w:r>
      <w:r w:rsidR="00C033C2">
        <w:t>)</w:t>
      </w:r>
      <w:r w:rsidR="00646DC5">
        <w:t>(Figura 1)</w:t>
      </w:r>
      <w:r w:rsidR="00C033C2">
        <w:t xml:space="preserve">. </w:t>
      </w:r>
    </w:p>
    <w:p w14:paraId="209B36DE" w14:textId="77777777" w:rsidR="001508D6" w:rsidRDefault="001508D6" w:rsidP="001508D6"/>
    <w:p w14:paraId="7D94A927" w14:textId="77777777" w:rsidR="002977D8" w:rsidRDefault="001508D6" w:rsidP="005E4792">
      <w:r w:rsidRPr="00AB0086">
        <w:t xml:space="preserve">La clínica habitualmente comienza como atrofia distal, </w:t>
      </w:r>
      <w:r w:rsidRPr="003A7C65">
        <w:rPr>
          <w:b/>
        </w:rPr>
        <w:t>simétrica</w:t>
      </w:r>
      <w:r w:rsidRPr="00AB0086">
        <w:t xml:space="preserve">, más frecuentemente afectando el compartimento </w:t>
      </w:r>
      <w:proofErr w:type="spellStart"/>
      <w:r w:rsidRPr="00AB0086">
        <w:t>anteroexterno</w:t>
      </w:r>
      <w:proofErr w:type="spellEnd"/>
      <w:r w:rsidRPr="00AB0086">
        <w:t xml:space="preserve"> de las </w:t>
      </w:r>
      <w:r w:rsidRPr="003A7C65">
        <w:rPr>
          <w:b/>
        </w:rPr>
        <w:t>extremidades inferiores y asociándose a pies cavos prominentes</w:t>
      </w:r>
      <w:r w:rsidRPr="00AB0086">
        <w:t>.</w:t>
      </w:r>
      <w:r>
        <w:t xml:space="preserve"> La </w:t>
      </w:r>
      <w:r w:rsidR="002977D8">
        <w:t>torpeza en el desarrollo de actividades escolares y posterior progresión insidiosa</w:t>
      </w:r>
      <w:r>
        <w:t xml:space="preserve"> nos debe hace sospechar el diagnóstico</w:t>
      </w:r>
      <w:r w:rsidR="002977D8">
        <w:t>, mientras que el inicio en la edad media y c</w:t>
      </w:r>
      <w:r>
        <w:t>urso corto de la enfermedad orientan</w:t>
      </w:r>
      <w:r w:rsidR="002977D8">
        <w:t xml:space="preserve"> a una cau</w:t>
      </w:r>
      <w:r w:rsidR="00C033C2">
        <w:t>sa adquirida (</w:t>
      </w:r>
      <w:proofErr w:type="spellStart"/>
      <w:r w:rsidR="00C033C2">
        <w:t>Rossor</w:t>
      </w:r>
      <w:proofErr w:type="spellEnd"/>
      <w:r w:rsidR="00C033C2">
        <w:t xml:space="preserve"> et al. 2012</w:t>
      </w:r>
      <w:r w:rsidR="002977D8">
        <w:t>)</w:t>
      </w:r>
      <w:r>
        <w:t>.</w:t>
      </w:r>
    </w:p>
    <w:p w14:paraId="4B2A3A73" w14:textId="3D28CFD3" w:rsidR="00965747" w:rsidRDefault="0012544F" w:rsidP="00965747">
      <w:r>
        <w:t xml:space="preserve">Otras </w:t>
      </w:r>
      <w:r w:rsidR="00374E8D">
        <w:t>características</w:t>
      </w:r>
      <w:r>
        <w:t xml:space="preserve"> asociadas son </w:t>
      </w:r>
      <w:r w:rsidR="00646DC5">
        <w:t xml:space="preserve">pies cavos, </w:t>
      </w:r>
      <w:proofErr w:type="spellStart"/>
      <w:r>
        <w:t>paresia</w:t>
      </w:r>
      <w:proofErr w:type="spellEnd"/>
      <w:r>
        <w:t xml:space="preserve"> de cuerdas vocales, </w:t>
      </w:r>
      <w:proofErr w:type="spellStart"/>
      <w:r>
        <w:t>piramidalismo</w:t>
      </w:r>
      <w:proofErr w:type="spellEnd"/>
      <w:r>
        <w:t xml:space="preserve"> y debilidad facial. La debilidad de musculatura bulbar es infrecuente; a excepción del nervio </w:t>
      </w:r>
      <w:r w:rsidR="00374E8D">
        <w:t>laríngeo</w:t>
      </w:r>
      <w:r>
        <w:t xml:space="preserve"> recurrente.</w:t>
      </w:r>
      <w:r w:rsidR="00965747">
        <w:t xml:space="preserve"> </w:t>
      </w:r>
      <w:r w:rsidR="00965747" w:rsidRPr="00AB0086">
        <w:t xml:space="preserve">En el examen clínico hay atrofia de la musculatura distal con reflejos reducidos o ausentes, aunque la pérdida de los reflejos es mucho menos frecuente que en las neuropatías motoras y sensitivas que definen la enfermedad CMT; de hecho en más del 60% de los pacientes los reflejos rotulianos y de extremidades superiores están conservados. Aunque la afectación de las piernas es más prominente, hay algunas familias en las que la debilidad se inicia y predomina en extremidades superiores (revisión en </w:t>
      </w:r>
      <w:proofErr w:type="spellStart"/>
      <w:r w:rsidR="00965747" w:rsidRPr="00AB0086">
        <w:t>Dyck</w:t>
      </w:r>
      <w:proofErr w:type="spellEnd"/>
      <w:r w:rsidR="00965747" w:rsidRPr="00AB0086">
        <w:t xml:space="preserve"> &amp; Thomas 2005). </w:t>
      </w:r>
    </w:p>
    <w:p w14:paraId="2E111C3B" w14:textId="77777777" w:rsidR="00965747" w:rsidRPr="00AB0086" w:rsidRDefault="00965747" w:rsidP="00965747"/>
    <w:p w14:paraId="6174BDBA" w14:textId="4CA41E18" w:rsidR="00C033C2" w:rsidRDefault="00965747" w:rsidP="00965747">
      <w:r w:rsidRPr="00AB0086">
        <w:t xml:space="preserve">El estudio electrofisiológico confirma la </w:t>
      </w:r>
      <w:r w:rsidRPr="003A7C65">
        <w:rPr>
          <w:b/>
        </w:rPr>
        <w:t>disminución de amplitud de los potenciales de acción motores</w:t>
      </w:r>
      <w:r w:rsidR="003A7C65">
        <w:rPr>
          <w:b/>
        </w:rPr>
        <w:t xml:space="preserve">, </w:t>
      </w:r>
      <w:r w:rsidR="003A7C65">
        <w:t xml:space="preserve">asociando </w:t>
      </w:r>
      <w:r w:rsidR="003A7C65" w:rsidRPr="00AB0086">
        <w:t>cambios elect</w:t>
      </w:r>
      <w:r w:rsidR="00374E8D">
        <w:t>romiográ</w:t>
      </w:r>
      <w:r w:rsidR="003A7C65" w:rsidRPr="00AB0086">
        <w:t>ficos que sug</w:t>
      </w:r>
      <w:r w:rsidR="003A7C65">
        <w:t xml:space="preserve">ieren denervación. </w:t>
      </w:r>
      <w:r w:rsidR="003A7C65">
        <w:rPr>
          <w:b/>
        </w:rPr>
        <w:t>VCM y PES conservados</w:t>
      </w:r>
      <w:r w:rsidR="003A7C65">
        <w:t>, lo cual</w:t>
      </w:r>
      <w:r w:rsidRPr="00AB0086">
        <w:t xml:space="preserve"> contrasta con la enfermedad de </w:t>
      </w:r>
      <w:proofErr w:type="spellStart"/>
      <w:r w:rsidRPr="00AB0086">
        <w:t>Charcot</w:t>
      </w:r>
      <w:proofErr w:type="spellEnd"/>
      <w:r w:rsidRPr="00AB0086">
        <w:t>-Marie-</w:t>
      </w:r>
      <w:proofErr w:type="spellStart"/>
      <w:r w:rsidRPr="00AB0086">
        <w:t>Tooth</w:t>
      </w:r>
      <w:proofErr w:type="spellEnd"/>
      <w:r w:rsidRPr="00AB0086">
        <w:t xml:space="preserve"> tipo 2 (CMT2) donde la afectación sensitiva es un componente importante de la enfermedad. El estudio electrofisiológico es útil para diferenciar las NHMD de las neuropatías CMT2 y de las </w:t>
      </w:r>
      <w:proofErr w:type="spellStart"/>
      <w:r w:rsidRPr="00AB0086">
        <w:t>miopatias</w:t>
      </w:r>
      <w:proofErr w:type="spellEnd"/>
      <w:r w:rsidRPr="00AB0086">
        <w:t xml:space="preserve"> distales (MD). Las miopatías distales, al igual que las NHMD son un grupo extenso y genéticamente heterogéneo de más de 20  enfermedades (</w:t>
      </w:r>
      <w:proofErr w:type="spellStart"/>
      <w:r w:rsidRPr="00AB0086">
        <w:t>Udd</w:t>
      </w:r>
      <w:proofErr w:type="spellEnd"/>
      <w:r w:rsidRPr="00AB0086">
        <w:t xml:space="preserve"> 2012). En las miopatías distales a veces hay alteración de la flexión del cuello, en las extremidades superiores la musculatura intrínseca de la mano se afecta en NHMD y la de los flexores del antebrazo en las MD. Algunas formas de NHMD tienen los reflejos vivos, lo que nos lleva al diagnóstico diferencial de las enfermedades de </w:t>
      </w:r>
      <w:proofErr w:type="spellStart"/>
      <w:r w:rsidRPr="00AB0086">
        <w:t>motoneurona</w:t>
      </w:r>
      <w:proofErr w:type="spellEnd"/>
      <w:r w:rsidRPr="00AB0086">
        <w:t xml:space="preserve">, y algunos casos tienen alteraciones sensitivas menores solapándose de este modo con CMT2. </w:t>
      </w:r>
    </w:p>
    <w:p w14:paraId="569F6E8C" w14:textId="77777777" w:rsidR="00C033C2" w:rsidRDefault="00C033C2" w:rsidP="00965747"/>
    <w:p w14:paraId="3D60D2DE" w14:textId="77777777" w:rsidR="00965747" w:rsidRPr="00AB0086" w:rsidRDefault="00965747" w:rsidP="00965747">
      <w:r w:rsidRPr="00AB0086">
        <w:lastRenderedPageBreak/>
        <w:t>La valoración de los síndromes motores distales no es fácil y hay que tener en cuenta que algunos síntomas/signos se solapan, a saber:</w:t>
      </w:r>
    </w:p>
    <w:p w14:paraId="4686589A" w14:textId="77777777" w:rsidR="00965747" w:rsidRPr="00AB0086" w:rsidRDefault="00965747" w:rsidP="00965747">
      <w:r w:rsidRPr="00AB0086">
        <w:t>a) En NHMD a veces se detectan alteraciones sensitivas menores, lo que nos obliga a hacer el diagnóstico diferencial con CMT2.</w:t>
      </w:r>
    </w:p>
    <w:p w14:paraId="2B01F080" w14:textId="77777777" w:rsidR="00965747" w:rsidRPr="00AB0086" w:rsidRDefault="00965747" w:rsidP="00965747">
      <w:r w:rsidRPr="00AB0086">
        <w:t xml:space="preserve">b) Algunas miopatías distales pueden tener actividad irritativa en el </w:t>
      </w:r>
      <w:proofErr w:type="spellStart"/>
      <w:r w:rsidRPr="00AB0086">
        <w:t>electromiograma</w:t>
      </w:r>
      <w:proofErr w:type="spellEnd"/>
      <w:r w:rsidRPr="00AB0086">
        <w:t xml:space="preserve"> (fibrilación), lo que puede llevar a confusión con una NHMD.</w:t>
      </w:r>
    </w:p>
    <w:p w14:paraId="04742F34" w14:textId="77777777" w:rsidR="00965747" w:rsidRDefault="00965747" w:rsidP="00965747">
      <w:r w:rsidRPr="00AB0086">
        <w:t xml:space="preserve">c) Algunas formas de NHMD tienen reflejos muy vivos, lo que lleva al diagnóstico diferencial con enfermedades de </w:t>
      </w:r>
      <w:proofErr w:type="spellStart"/>
      <w:r w:rsidRPr="00AB0086">
        <w:t>motoneurona</w:t>
      </w:r>
      <w:proofErr w:type="spellEnd"/>
      <w:r w:rsidRPr="00AB0086">
        <w:t>.</w:t>
      </w:r>
    </w:p>
    <w:p w14:paraId="7843830D" w14:textId="77777777" w:rsidR="00BF2F28" w:rsidRDefault="00BF2F28" w:rsidP="00965747"/>
    <w:p w14:paraId="5A8EE5F5" w14:textId="41247E59" w:rsidR="00A82ECF" w:rsidRDefault="00A82ECF" w:rsidP="00965747">
      <w:r>
        <w:t xml:space="preserve">Por último debe enfatizarse que se trata de síndromes en los que el diagnóstico definitivo se alcanza en un pequeño porcentaje de los casos. </w:t>
      </w:r>
    </w:p>
    <w:p w14:paraId="51078D85" w14:textId="77777777" w:rsidR="00BF2F28" w:rsidRDefault="00BF2F28" w:rsidP="00965747"/>
    <w:p w14:paraId="29CD14A3" w14:textId="77777777" w:rsidR="00C033C2" w:rsidRDefault="00C033C2" w:rsidP="00965747"/>
    <w:p w14:paraId="3B9D8B94" w14:textId="77777777" w:rsidR="00C033C2" w:rsidRDefault="00646DC5" w:rsidP="00C033C2">
      <w:pPr>
        <w:rPr>
          <w:rFonts w:ascii="Times New Roman" w:hAnsi="Times New Roman"/>
        </w:rPr>
      </w:pPr>
      <w:r w:rsidRPr="00646DC5">
        <w:rPr>
          <w:rFonts w:ascii="Times New Roman" w:hAnsi="Times New Roman"/>
          <w:b/>
        </w:rPr>
        <w:t>Tabla 1</w:t>
      </w:r>
      <w:r w:rsidR="00C033C2" w:rsidRPr="00646DC5">
        <w:rPr>
          <w:rFonts w:ascii="Times New Roman" w:hAnsi="Times New Roman"/>
          <w:b/>
        </w:rPr>
        <w:t>.</w:t>
      </w:r>
      <w:r w:rsidR="00C033C2">
        <w:rPr>
          <w:rFonts w:ascii="Times New Roman" w:hAnsi="Times New Roman"/>
        </w:rPr>
        <w:t xml:space="preserve">  Genotipo y fenotipo actualizado de las neuropatías hereditarias motoras distales (NHMD)  basándose en la clasificación original de </w:t>
      </w:r>
      <w:proofErr w:type="spellStart"/>
      <w:r w:rsidR="00C033C2">
        <w:rPr>
          <w:rFonts w:ascii="Times New Roman" w:hAnsi="Times New Roman"/>
        </w:rPr>
        <w:t>Harding</w:t>
      </w:r>
      <w:proofErr w:type="spellEnd"/>
      <w:r w:rsidR="00C033C2">
        <w:rPr>
          <w:rFonts w:ascii="Times New Roman" w:hAnsi="Times New Roman"/>
        </w:rPr>
        <w:t xml:space="preserve"> (1993)</w:t>
      </w:r>
      <w:r>
        <w:rPr>
          <w:rFonts w:ascii="Times New Roman" w:hAnsi="Times New Roman"/>
        </w:rPr>
        <w:t>.</w:t>
      </w:r>
    </w:p>
    <w:p w14:paraId="260088DB" w14:textId="77777777" w:rsidR="00BF2F28" w:rsidRDefault="00BF2F28" w:rsidP="00C033C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1"/>
        <w:gridCol w:w="1914"/>
        <w:gridCol w:w="1124"/>
        <w:gridCol w:w="1244"/>
        <w:gridCol w:w="2841"/>
      </w:tblGrid>
      <w:tr w:rsidR="00C033C2" w:rsidRPr="00646DC5" w14:paraId="1FC65C1D" w14:textId="77777777" w:rsidTr="00C033C2">
        <w:tc>
          <w:tcPr>
            <w:tcW w:w="2083" w:type="dxa"/>
          </w:tcPr>
          <w:p w14:paraId="7D8EF619" w14:textId="77777777" w:rsidR="00C033C2" w:rsidRPr="00646DC5" w:rsidRDefault="00C033C2" w:rsidP="00C033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6DC5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2136" w:type="dxa"/>
          </w:tcPr>
          <w:p w14:paraId="7084144A" w14:textId="77777777" w:rsidR="00C033C2" w:rsidRPr="00646DC5" w:rsidRDefault="00C033C2" w:rsidP="00C033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6DC5">
              <w:rPr>
                <w:rFonts w:ascii="Times New Roman" w:hAnsi="Times New Roman"/>
                <w:b/>
                <w:sz w:val="20"/>
                <w:szCs w:val="20"/>
              </w:rPr>
              <w:t>Gen/Locus</w:t>
            </w:r>
          </w:p>
        </w:tc>
        <w:tc>
          <w:tcPr>
            <w:tcW w:w="1418" w:type="dxa"/>
          </w:tcPr>
          <w:p w14:paraId="160B5ACA" w14:textId="77777777" w:rsidR="00C033C2" w:rsidRPr="00646DC5" w:rsidRDefault="00C033C2" w:rsidP="00C033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6DC5">
              <w:rPr>
                <w:rFonts w:ascii="Times New Roman" w:hAnsi="Times New Roman"/>
                <w:b/>
                <w:sz w:val="20"/>
                <w:szCs w:val="20"/>
              </w:rPr>
              <w:t>Herencia</w:t>
            </w:r>
          </w:p>
        </w:tc>
        <w:tc>
          <w:tcPr>
            <w:tcW w:w="1559" w:type="dxa"/>
          </w:tcPr>
          <w:p w14:paraId="4CA6AD41" w14:textId="77777777" w:rsidR="00C033C2" w:rsidRPr="00646DC5" w:rsidRDefault="00C033C2" w:rsidP="00C033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6DC5">
              <w:rPr>
                <w:rFonts w:ascii="Times New Roman" w:hAnsi="Times New Roman"/>
                <w:b/>
                <w:sz w:val="20"/>
                <w:szCs w:val="20"/>
              </w:rPr>
              <w:t>Edad inicio</w:t>
            </w:r>
          </w:p>
        </w:tc>
        <w:tc>
          <w:tcPr>
            <w:tcW w:w="5958" w:type="dxa"/>
          </w:tcPr>
          <w:p w14:paraId="31518775" w14:textId="77777777" w:rsidR="00C033C2" w:rsidRPr="00646DC5" w:rsidRDefault="00C033C2" w:rsidP="00C033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6DC5">
              <w:rPr>
                <w:rFonts w:ascii="Times New Roman" w:hAnsi="Times New Roman"/>
                <w:b/>
                <w:sz w:val="20"/>
                <w:szCs w:val="20"/>
              </w:rPr>
              <w:t>Fenotipo</w:t>
            </w:r>
          </w:p>
        </w:tc>
      </w:tr>
      <w:tr w:rsidR="00C033C2" w:rsidRPr="00646DC5" w14:paraId="5AD65E87" w14:textId="77777777" w:rsidTr="00C033C2">
        <w:tc>
          <w:tcPr>
            <w:tcW w:w="2083" w:type="dxa"/>
          </w:tcPr>
          <w:p w14:paraId="17C87863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  tipo I</w:t>
            </w:r>
          </w:p>
        </w:tc>
        <w:tc>
          <w:tcPr>
            <w:tcW w:w="2136" w:type="dxa"/>
          </w:tcPr>
          <w:p w14:paraId="00BF3C1F" w14:textId="77777777" w:rsidR="00C033C2" w:rsidRPr="00646DC5" w:rsidRDefault="00C033C2" w:rsidP="00C033C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HSPB1, HSPB8, GARS</w:t>
            </w:r>
          </w:p>
        </w:tc>
        <w:tc>
          <w:tcPr>
            <w:tcW w:w="1418" w:type="dxa"/>
          </w:tcPr>
          <w:p w14:paraId="43720FA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09D07CA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Juvenil</w:t>
            </w:r>
          </w:p>
        </w:tc>
        <w:tc>
          <w:tcPr>
            <w:tcW w:w="5958" w:type="dxa"/>
          </w:tcPr>
          <w:p w14:paraId="1E4BBE7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y atrofia distal</w:t>
            </w:r>
          </w:p>
        </w:tc>
      </w:tr>
      <w:tr w:rsidR="00C033C2" w:rsidRPr="00646DC5" w14:paraId="203D0503" w14:textId="77777777" w:rsidTr="00C033C2">
        <w:tc>
          <w:tcPr>
            <w:tcW w:w="2083" w:type="dxa"/>
          </w:tcPr>
          <w:p w14:paraId="6CF53A94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tipo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IIa</w:t>
            </w:r>
            <w:proofErr w:type="spellEnd"/>
            <w:r w:rsidRPr="00646DC5">
              <w:rPr>
                <w:rFonts w:ascii="Times New Roman" w:hAnsi="Times New Roman"/>
                <w:sz w:val="20"/>
                <w:szCs w:val="20"/>
              </w:rPr>
              <w:t xml:space="preserve"> y b</w:t>
            </w:r>
          </w:p>
        </w:tc>
        <w:tc>
          <w:tcPr>
            <w:tcW w:w="2136" w:type="dxa"/>
          </w:tcPr>
          <w:p w14:paraId="16D5424B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HSPB1, HSPB8, BSCL2, (probable)HSPB3 </w:t>
            </w:r>
          </w:p>
        </w:tc>
        <w:tc>
          <w:tcPr>
            <w:tcW w:w="1418" w:type="dxa"/>
          </w:tcPr>
          <w:p w14:paraId="0E5CFAE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201270F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Adulto</w:t>
            </w:r>
          </w:p>
        </w:tc>
        <w:tc>
          <w:tcPr>
            <w:tcW w:w="5958" w:type="dxa"/>
          </w:tcPr>
          <w:p w14:paraId="7E83C58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y atrofia distal</w:t>
            </w:r>
          </w:p>
        </w:tc>
      </w:tr>
      <w:tr w:rsidR="00C033C2" w:rsidRPr="00646DC5" w14:paraId="5E48B996" w14:textId="77777777" w:rsidTr="00C033C2">
        <w:tc>
          <w:tcPr>
            <w:tcW w:w="2083" w:type="dxa"/>
          </w:tcPr>
          <w:p w14:paraId="5FF6166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 tipo III</w:t>
            </w:r>
          </w:p>
        </w:tc>
        <w:tc>
          <w:tcPr>
            <w:tcW w:w="2136" w:type="dxa"/>
          </w:tcPr>
          <w:p w14:paraId="7EC79210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Desconocido/11q13</w:t>
            </w:r>
          </w:p>
        </w:tc>
        <w:tc>
          <w:tcPr>
            <w:tcW w:w="1418" w:type="dxa"/>
          </w:tcPr>
          <w:p w14:paraId="493B65A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14:paraId="06B86D0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Adulto</w:t>
            </w:r>
          </w:p>
        </w:tc>
        <w:tc>
          <w:tcPr>
            <w:tcW w:w="5958" w:type="dxa"/>
          </w:tcPr>
          <w:p w14:paraId="6C3C3EF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y atrofia distal lentamente progresiva sin debilidad diafragmática</w:t>
            </w:r>
          </w:p>
        </w:tc>
      </w:tr>
      <w:tr w:rsidR="00C033C2" w:rsidRPr="00646DC5" w14:paraId="6C5FBF9D" w14:textId="77777777" w:rsidTr="00C033C2">
        <w:tc>
          <w:tcPr>
            <w:tcW w:w="2083" w:type="dxa"/>
          </w:tcPr>
          <w:p w14:paraId="2704955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 tipo IV</w:t>
            </w:r>
          </w:p>
        </w:tc>
        <w:tc>
          <w:tcPr>
            <w:tcW w:w="2136" w:type="dxa"/>
          </w:tcPr>
          <w:p w14:paraId="75E13EDB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Desconocido /11q13</w:t>
            </w:r>
          </w:p>
        </w:tc>
        <w:tc>
          <w:tcPr>
            <w:tcW w:w="1418" w:type="dxa"/>
          </w:tcPr>
          <w:p w14:paraId="5D35501E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14:paraId="614F72C7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Juvenil</w:t>
            </w:r>
          </w:p>
        </w:tc>
        <w:tc>
          <w:tcPr>
            <w:tcW w:w="5958" w:type="dxa"/>
          </w:tcPr>
          <w:p w14:paraId="3FF31B01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y atrofia distal importante con afectación diafragmática</w:t>
            </w:r>
          </w:p>
        </w:tc>
      </w:tr>
      <w:tr w:rsidR="00C033C2" w:rsidRPr="00646DC5" w14:paraId="3BF212F0" w14:textId="77777777" w:rsidTr="00C033C2">
        <w:tc>
          <w:tcPr>
            <w:tcW w:w="2083" w:type="dxa"/>
          </w:tcPr>
          <w:p w14:paraId="3046EA77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 tipo Va</w:t>
            </w:r>
          </w:p>
        </w:tc>
        <w:tc>
          <w:tcPr>
            <w:tcW w:w="2136" w:type="dxa"/>
          </w:tcPr>
          <w:p w14:paraId="2B9D9798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GARS,</w:t>
            </w:r>
            <w:r w:rsidRPr="00646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BSCL2</w:t>
            </w:r>
          </w:p>
        </w:tc>
        <w:tc>
          <w:tcPr>
            <w:tcW w:w="1418" w:type="dxa"/>
          </w:tcPr>
          <w:p w14:paraId="57CD7D2E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01483B2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Juvenil</w:t>
            </w:r>
          </w:p>
        </w:tc>
        <w:tc>
          <w:tcPr>
            <w:tcW w:w="5958" w:type="dxa"/>
          </w:tcPr>
          <w:p w14:paraId="4B133C03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Inicio y predominio en extremidades superiores, ocasionalmente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piramidalismo</w:t>
            </w:r>
            <w:proofErr w:type="spellEnd"/>
          </w:p>
        </w:tc>
      </w:tr>
      <w:tr w:rsidR="00C033C2" w:rsidRPr="00646DC5" w14:paraId="134731B6" w14:textId="77777777" w:rsidTr="00C033C2">
        <w:tc>
          <w:tcPr>
            <w:tcW w:w="2083" w:type="dxa"/>
          </w:tcPr>
          <w:p w14:paraId="50CD49F1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tipo V b (Síndrome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Silver</w:t>
            </w:r>
            <w:proofErr w:type="spellEnd"/>
            <w:r w:rsidRPr="00646D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36" w:type="dxa"/>
          </w:tcPr>
          <w:p w14:paraId="6E9A8AB3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BSCL2/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Seipina</w:t>
            </w:r>
            <w:proofErr w:type="spellEnd"/>
          </w:p>
        </w:tc>
        <w:tc>
          <w:tcPr>
            <w:tcW w:w="1418" w:type="dxa"/>
          </w:tcPr>
          <w:p w14:paraId="39C7E14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441B0C9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Juvenil</w:t>
            </w:r>
          </w:p>
        </w:tc>
        <w:tc>
          <w:tcPr>
            <w:tcW w:w="5958" w:type="dxa"/>
          </w:tcPr>
          <w:p w14:paraId="5CBE8027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predominante de manos y espasticidad en extremidades inferiores</w:t>
            </w:r>
          </w:p>
        </w:tc>
      </w:tr>
      <w:tr w:rsidR="00C033C2" w:rsidRPr="00646DC5" w14:paraId="0D1F89D4" w14:textId="77777777" w:rsidTr="00C033C2">
        <w:tc>
          <w:tcPr>
            <w:tcW w:w="2083" w:type="dxa"/>
          </w:tcPr>
          <w:p w14:paraId="2D4AC8EB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 tipo VI</w:t>
            </w:r>
          </w:p>
        </w:tc>
        <w:tc>
          <w:tcPr>
            <w:tcW w:w="2136" w:type="dxa"/>
          </w:tcPr>
          <w:p w14:paraId="290AA2E2" w14:textId="77777777" w:rsidR="00C033C2" w:rsidRPr="00646DC5" w:rsidRDefault="00C033C2" w:rsidP="00C033C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IGHMBP2</w:t>
            </w:r>
          </w:p>
        </w:tc>
        <w:tc>
          <w:tcPr>
            <w:tcW w:w="1418" w:type="dxa"/>
          </w:tcPr>
          <w:p w14:paraId="181784D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14:paraId="594F92DA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Congenita-2a</w:t>
            </w:r>
          </w:p>
        </w:tc>
        <w:tc>
          <w:tcPr>
            <w:tcW w:w="5958" w:type="dxa"/>
          </w:tcPr>
          <w:p w14:paraId="5CC1AD3B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Forma infantil grave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distres</w:t>
            </w:r>
            <w:proofErr w:type="spellEnd"/>
            <w:r w:rsidRPr="00646DC5">
              <w:rPr>
                <w:rFonts w:ascii="Times New Roman" w:hAnsi="Times New Roman"/>
                <w:sz w:val="20"/>
                <w:szCs w:val="20"/>
              </w:rPr>
              <w:t xml:space="preserve"> respiratorio</w:t>
            </w:r>
          </w:p>
        </w:tc>
      </w:tr>
      <w:tr w:rsidR="00C033C2" w:rsidRPr="00646DC5" w14:paraId="5021E827" w14:textId="77777777" w:rsidTr="00C033C2">
        <w:tc>
          <w:tcPr>
            <w:tcW w:w="2083" w:type="dxa"/>
          </w:tcPr>
          <w:p w14:paraId="0DF731E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VIIa</w:t>
            </w:r>
            <w:proofErr w:type="spellEnd"/>
          </w:p>
        </w:tc>
        <w:tc>
          <w:tcPr>
            <w:tcW w:w="2136" w:type="dxa"/>
          </w:tcPr>
          <w:p w14:paraId="5F41507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Desconocido</w:t>
            </w:r>
          </w:p>
        </w:tc>
        <w:tc>
          <w:tcPr>
            <w:tcW w:w="1418" w:type="dxa"/>
          </w:tcPr>
          <w:p w14:paraId="67B9BDC0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5BB14FA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Adulto</w:t>
            </w:r>
          </w:p>
        </w:tc>
        <w:tc>
          <w:tcPr>
            <w:tcW w:w="5958" w:type="dxa"/>
          </w:tcPr>
          <w:p w14:paraId="3C48CE5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Inicio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paresia</w:t>
            </w:r>
            <w:proofErr w:type="spellEnd"/>
            <w:r w:rsidRPr="00646DC5">
              <w:rPr>
                <w:rFonts w:ascii="Times New Roman" w:hAnsi="Times New Roman"/>
                <w:sz w:val="20"/>
                <w:szCs w:val="20"/>
              </w:rPr>
              <w:t xml:space="preserve"> cuerdas vocales</w:t>
            </w:r>
          </w:p>
        </w:tc>
      </w:tr>
      <w:tr w:rsidR="00C033C2" w:rsidRPr="00646DC5" w14:paraId="25643463" w14:textId="77777777" w:rsidTr="00C033C2">
        <w:tc>
          <w:tcPr>
            <w:tcW w:w="2083" w:type="dxa"/>
          </w:tcPr>
          <w:p w14:paraId="3FD4119C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VIIb</w:t>
            </w:r>
            <w:proofErr w:type="spellEnd"/>
          </w:p>
        </w:tc>
        <w:tc>
          <w:tcPr>
            <w:tcW w:w="2136" w:type="dxa"/>
          </w:tcPr>
          <w:p w14:paraId="45B467A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DCTN1, TRPV4,</w:t>
            </w:r>
            <w:r w:rsidRPr="00646DC5">
              <w:rPr>
                <w:rFonts w:ascii="Times New Roman" w:hAnsi="Times New Roman"/>
                <w:sz w:val="20"/>
                <w:szCs w:val="20"/>
              </w:rPr>
              <w:t xml:space="preserve"> Desconocido 2q14</w:t>
            </w:r>
          </w:p>
        </w:tc>
        <w:tc>
          <w:tcPr>
            <w:tcW w:w="1418" w:type="dxa"/>
          </w:tcPr>
          <w:p w14:paraId="34F99E01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672F5D82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Adulto </w:t>
            </w:r>
          </w:p>
        </w:tc>
        <w:tc>
          <w:tcPr>
            <w:tcW w:w="5958" w:type="dxa"/>
          </w:tcPr>
          <w:p w14:paraId="1F233991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Inicio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paresia</w:t>
            </w:r>
            <w:proofErr w:type="spellEnd"/>
            <w:r w:rsidRPr="00646DC5">
              <w:rPr>
                <w:rFonts w:ascii="Times New Roman" w:hAnsi="Times New Roman"/>
                <w:sz w:val="20"/>
                <w:szCs w:val="20"/>
              </w:rPr>
              <w:t xml:space="preserve"> facial y de cuerdas vocales</w:t>
            </w:r>
          </w:p>
        </w:tc>
      </w:tr>
      <w:tr w:rsidR="00C033C2" w:rsidRPr="00646DC5" w14:paraId="149574EC" w14:textId="77777777" w:rsidTr="00C033C2">
        <w:tc>
          <w:tcPr>
            <w:tcW w:w="2083" w:type="dxa"/>
          </w:tcPr>
          <w:p w14:paraId="103A831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piramidalismo</w:t>
            </w:r>
            <w:proofErr w:type="spellEnd"/>
          </w:p>
        </w:tc>
        <w:tc>
          <w:tcPr>
            <w:tcW w:w="2136" w:type="dxa"/>
          </w:tcPr>
          <w:p w14:paraId="2FC4145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 xml:space="preserve">SETX, BSCL2, </w:t>
            </w:r>
            <w:r w:rsidRPr="00646DC5">
              <w:rPr>
                <w:rFonts w:ascii="Times New Roman" w:hAnsi="Times New Roman"/>
                <w:sz w:val="20"/>
                <w:szCs w:val="20"/>
              </w:rPr>
              <w:t xml:space="preserve">desconocidos (4q34-q35 y </w:t>
            </w:r>
          </w:p>
          <w:p w14:paraId="104D7200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7q34-q36)</w:t>
            </w:r>
          </w:p>
        </w:tc>
        <w:tc>
          <w:tcPr>
            <w:tcW w:w="1418" w:type="dxa"/>
          </w:tcPr>
          <w:p w14:paraId="061B316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5C434097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Adulto</w:t>
            </w:r>
          </w:p>
        </w:tc>
        <w:tc>
          <w:tcPr>
            <w:tcW w:w="5958" w:type="dxa"/>
          </w:tcPr>
          <w:p w14:paraId="1B11CA9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Distal de extremidades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piramidalismo</w:t>
            </w:r>
            <w:proofErr w:type="spellEnd"/>
          </w:p>
        </w:tc>
      </w:tr>
      <w:tr w:rsidR="00C033C2" w:rsidRPr="00646DC5" w14:paraId="0EFC9FC9" w14:textId="77777777" w:rsidTr="00C033C2">
        <w:tc>
          <w:tcPr>
            <w:tcW w:w="2083" w:type="dxa"/>
          </w:tcPr>
          <w:p w14:paraId="44B33D74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NHMD- XL</w:t>
            </w:r>
          </w:p>
        </w:tc>
        <w:tc>
          <w:tcPr>
            <w:tcW w:w="2136" w:type="dxa"/>
          </w:tcPr>
          <w:p w14:paraId="2B495C11" w14:textId="77777777" w:rsidR="00C033C2" w:rsidRPr="00646DC5" w:rsidRDefault="00C033C2" w:rsidP="00C033C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ATP7A</w:t>
            </w:r>
          </w:p>
        </w:tc>
        <w:tc>
          <w:tcPr>
            <w:tcW w:w="1418" w:type="dxa"/>
          </w:tcPr>
          <w:p w14:paraId="385DB23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XL-recesiva</w:t>
            </w:r>
          </w:p>
        </w:tc>
        <w:tc>
          <w:tcPr>
            <w:tcW w:w="1559" w:type="dxa"/>
          </w:tcPr>
          <w:p w14:paraId="7D8BEBF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Juvenil</w:t>
            </w:r>
          </w:p>
        </w:tc>
        <w:tc>
          <w:tcPr>
            <w:tcW w:w="5958" w:type="dxa"/>
          </w:tcPr>
          <w:p w14:paraId="7BE8045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Debilidad y atrofia distal</w:t>
            </w:r>
          </w:p>
        </w:tc>
      </w:tr>
      <w:tr w:rsidR="00C033C2" w:rsidRPr="00646DC5" w14:paraId="353C9A1E" w14:textId="77777777" w:rsidTr="00C033C2">
        <w:tc>
          <w:tcPr>
            <w:tcW w:w="2083" w:type="dxa"/>
          </w:tcPr>
          <w:p w14:paraId="0C8A8B75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NHMD/ALS4</w:t>
            </w:r>
          </w:p>
        </w:tc>
        <w:tc>
          <w:tcPr>
            <w:tcW w:w="2136" w:type="dxa"/>
          </w:tcPr>
          <w:p w14:paraId="3A14CC24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SETX/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Senataxina</w:t>
            </w:r>
            <w:proofErr w:type="spellEnd"/>
          </w:p>
        </w:tc>
        <w:tc>
          <w:tcPr>
            <w:tcW w:w="1418" w:type="dxa"/>
          </w:tcPr>
          <w:p w14:paraId="4AE8433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4B6863E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4-49a</w:t>
            </w:r>
          </w:p>
        </w:tc>
        <w:tc>
          <w:tcPr>
            <w:tcW w:w="5958" w:type="dxa"/>
          </w:tcPr>
          <w:p w14:paraId="7ECDB8EF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Debilidad y atrofia distal, algunos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piramidalismo</w:t>
            </w:r>
            <w:proofErr w:type="spellEnd"/>
          </w:p>
        </w:tc>
      </w:tr>
      <w:tr w:rsidR="00C033C2" w:rsidRPr="00646DC5" w14:paraId="5475E57D" w14:textId="77777777" w:rsidTr="00C033C2">
        <w:tc>
          <w:tcPr>
            <w:tcW w:w="2083" w:type="dxa"/>
          </w:tcPr>
          <w:p w14:paraId="70F13CF3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NHMD congénita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artrogriposis</w:t>
            </w:r>
            <w:proofErr w:type="spellEnd"/>
          </w:p>
        </w:tc>
        <w:tc>
          <w:tcPr>
            <w:tcW w:w="2136" w:type="dxa"/>
          </w:tcPr>
          <w:p w14:paraId="71BC1E20" w14:textId="77777777" w:rsidR="00C033C2" w:rsidRPr="00646DC5" w:rsidRDefault="00C033C2" w:rsidP="00C033C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46DC5">
              <w:rPr>
                <w:rFonts w:ascii="Times New Roman" w:hAnsi="Times New Roman"/>
                <w:i/>
                <w:sz w:val="20"/>
                <w:szCs w:val="20"/>
              </w:rPr>
              <w:t>TRPV4</w:t>
            </w:r>
          </w:p>
        </w:tc>
        <w:tc>
          <w:tcPr>
            <w:tcW w:w="1418" w:type="dxa"/>
          </w:tcPr>
          <w:p w14:paraId="58DCA889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AD</w:t>
            </w:r>
          </w:p>
        </w:tc>
        <w:tc>
          <w:tcPr>
            <w:tcW w:w="1559" w:type="dxa"/>
          </w:tcPr>
          <w:p w14:paraId="243A73CD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>Congénita</w:t>
            </w:r>
          </w:p>
        </w:tc>
        <w:tc>
          <w:tcPr>
            <w:tcW w:w="5958" w:type="dxa"/>
          </w:tcPr>
          <w:p w14:paraId="717945C1" w14:textId="77777777" w:rsidR="00C033C2" w:rsidRPr="00646DC5" w:rsidRDefault="00C033C2" w:rsidP="00C033C2">
            <w:pPr>
              <w:rPr>
                <w:rFonts w:ascii="Times New Roman" w:hAnsi="Times New Roman"/>
                <w:sz w:val="20"/>
                <w:szCs w:val="20"/>
              </w:rPr>
            </w:pPr>
            <w:r w:rsidRPr="00646DC5">
              <w:rPr>
                <w:rFonts w:ascii="Times New Roman" w:hAnsi="Times New Roman"/>
                <w:sz w:val="20"/>
                <w:szCs w:val="20"/>
              </w:rPr>
              <w:t xml:space="preserve">Debilidad congénita con </w:t>
            </w:r>
            <w:proofErr w:type="spellStart"/>
            <w:r w:rsidRPr="00646DC5">
              <w:rPr>
                <w:rFonts w:ascii="Times New Roman" w:hAnsi="Times New Roman"/>
                <w:sz w:val="20"/>
                <w:szCs w:val="20"/>
              </w:rPr>
              <w:t>artrogriposis</w:t>
            </w:r>
            <w:proofErr w:type="spellEnd"/>
          </w:p>
        </w:tc>
      </w:tr>
    </w:tbl>
    <w:p w14:paraId="49F1C74C" w14:textId="77777777" w:rsidR="00C033C2" w:rsidRPr="00646DC5" w:rsidRDefault="00C033C2" w:rsidP="00C033C2">
      <w:pPr>
        <w:rPr>
          <w:rFonts w:ascii="Times New Roman" w:hAnsi="Times New Roman"/>
          <w:sz w:val="20"/>
          <w:szCs w:val="20"/>
        </w:rPr>
      </w:pPr>
    </w:p>
    <w:p w14:paraId="5B77951C" w14:textId="77777777" w:rsidR="005E4792" w:rsidRDefault="005E4792">
      <w:pPr>
        <w:rPr>
          <w:sz w:val="20"/>
          <w:szCs w:val="20"/>
        </w:rPr>
      </w:pPr>
    </w:p>
    <w:p w14:paraId="15A03F99" w14:textId="77777777" w:rsidR="00646DC5" w:rsidRDefault="00646DC5">
      <w:pPr>
        <w:rPr>
          <w:sz w:val="20"/>
          <w:szCs w:val="20"/>
        </w:rPr>
      </w:pPr>
    </w:p>
    <w:p w14:paraId="575646B3" w14:textId="77777777" w:rsidR="00A82ECF" w:rsidRDefault="00A82ECF">
      <w:pPr>
        <w:rPr>
          <w:sz w:val="20"/>
          <w:szCs w:val="20"/>
        </w:rPr>
      </w:pPr>
    </w:p>
    <w:p w14:paraId="23E31639" w14:textId="77777777" w:rsidR="00A82ECF" w:rsidRDefault="00A82ECF">
      <w:pPr>
        <w:rPr>
          <w:sz w:val="20"/>
          <w:szCs w:val="20"/>
        </w:rPr>
      </w:pPr>
    </w:p>
    <w:p w14:paraId="59D85056" w14:textId="77777777" w:rsidR="00A82ECF" w:rsidRDefault="00A82ECF">
      <w:pPr>
        <w:rPr>
          <w:sz w:val="20"/>
          <w:szCs w:val="20"/>
        </w:rPr>
      </w:pPr>
    </w:p>
    <w:p w14:paraId="4AB22429" w14:textId="77777777" w:rsidR="00305F7C" w:rsidRDefault="00305F7C">
      <w:pPr>
        <w:rPr>
          <w:sz w:val="20"/>
          <w:szCs w:val="20"/>
        </w:rPr>
      </w:pPr>
    </w:p>
    <w:p w14:paraId="3FB47DB0" w14:textId="77777777" w:rsidR="00646DC5" w:rsidRPr="00BF2F28" w:rsidRDefault="00646DC5">
      <w:pPr>
        <w:rPr>
          <w:b/>
        </w:rPr>
      </w:pPr>
      <w:r w:rsidRPr="00BF2F28">
        <w:rPr>
          <w:b/>
        </w:rPr>
        <w:t>Fig. 1 Algoritmo diagnostico de las NHMD o AED.</w:t>
      </w:r>
    </w:p>
    <w:p w14:paraId="0A46B01E" w14:textId="77777777" w:rsidR="00646DC5" w:rsidRPr="00646DC5" w:rsidRDefault="00646DC5">
      <w:pPr>
        <w:rPr>
          <w:b/>
          <w:sz w:val="20"/>
          <w:szCs w:val="20"/>
        </w:rPr>
      </w:pPr>
    </w:p>
    <w:p w14:paraId="54DF26F2" w14:textId="77777777" w:rsidR="00646DC5" w:rsidRDefault="00646DC5">
      <w:pPr>
        <w:rPr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0FE5E6A9" wp14:editId="01CEA595">
            <wp:extent cx="5396230" cy="4001826"/>
            <wp:effectExtent l="0" t="0" r="0" b="114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0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5E66" w14:textId="77777777" w:rsidR="00E772B8" w:rsidRDefault="00E772B8">
      <w:pPr>
        <w:rPr>
          <w:sz w:val="20"/>
          <w:szCs w:val="20"/>
        </w:rPr>
      </w:pPr>
    </w:p>
    <w:p w14:paraId="535836D6" w14:textId="77777777" w:rsidR="00E772B8" w:rsidRDefault="00E772B8">
      <w:pPr>
        <w:rPr>
          <w:sz w:val="20"/>
          <w:szCs w:val="20"/>
        </w:rPr>
      </w:pPr>
    </w:p>
    <w:p w14:paraId="7A3C8A07" w14:textId="77777777" w:rsidR="00E772B8" w:rsidRDefault="00E772B8">
      <w:pPr>
        <w:rPr>
          <w:sz w:val="20"/>
          <w:szCs w:val="20"/>
        </w:rPr>
      </w:pPr>
    </w:p>
    <w:p w14:paraId="7F882A05" w14:textId="7562BB6C" w:rsidR="00E772B8" w:rsidRDefault="00E77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Bibliografía:</w:t>
      </w:r>
    </w:p>
    <w:p w14:paraId="6403806D" w14:textId="77777777" w:rsidR="00E772B8" w:rsidRDefault="00E772B8">
      <w:pPr>
        <w:rPr>
          <w:b/>
          <w:sz w:val="20"/>
          <w:szCs w:val="20"/>
        </w:rPr>
      </w:pPr>
    </w:p>
    <w:p w14:paraId="5C682A77" w14:textId="456EE864" w:rsidR="00E772B8" w:rsidRDefault="00E772B8" w:rsidP="00E772B8">
      <w:pPr>
        <w:rPr>
          <w:rFonts w:ascii="Times" w:hAnsi="Times" w:cs="Times"/>
          <w:noProof/>
          <w:lang w:val="es-ES"/>
        </w:rPr>
      </w:pPr>
      <w:r w:rsidRPr="00071E69">
        <w:rPr>
          <w:rFonts w:ascii="Times" w:hAnsi="Times" w:cs="Times"/>
          <w:noProof/>
          <w:lang w:val="es-ES"/>
        </w:rPr>
        <w:t xml:space="preserve">Alexander M Rossor, Bernadett Kalmar, Linda Greensmith, </w:t>
      </w:r>
      <w:r>
        <w:rPr>
          <w:rFonts w:ascii="Times" w:hAnsi="Times" w:cs="Times"/>
          <w:noProof/>
          <w:lang w:val="es-ES"/>
        </w:rPr>
        <w:t>Mary M Reilly</w:t>
      </w:r>
      <w:r w:rsidRPr="00071E69">
        <w:rPr>
          <w:rFonts w:ascii="Times" w:hAnsi="Times" w:cs="Times"/>
          <w:noProof/>
          <w:lang w:val="es-ES"/>
        </w:rPr>
        <w:t>.</w:t>
      </w:r>
      <w:r>
        <w:rPr>
          <w:rFonts w:ascii="Times" w:hAnsi="Times" w:cs="Times"/>
          <w:noProof/>
          <w:lang w:val="es-ES"/>
        </w:rPr>
        <w:t xml:space="preserve"> </w:t>
      </w:r>
      <w:r w:rsidRPr="00071E69">
        <w:rPr>
          <w:rFonts w:ascii="Times" w:hAnsi="Times" w:cs="Times"/>
          <w:noProof/>
          <w:lang w:val="es-ES"/>
        </w:rPr>
        <w:t>The distal hereditary motor neuropathies</w:t>
      </w:r>
      <w:r>
        <w:rPr>
          <w:rFonts w:ascii="Times" w:hAnsi="Times" w:cs="Times"/>
          <w:noProof/>
          <w:lang w:val="es-ES"/>
        </w:rPr>
        <w:t xml:space="preserve">. </w:t>
      </w:r>
      <w:r w:rsidRPr="00071E69">
        <w:rPr>
          <w:rFonts w:ascii="Times" w:hAnsi="Times" w:cs="Times"/>
          <w:noProof/>
          <w:lang w:val="es-ES"/>
        </w:rPr>
        <w:t>J Neurol Neurosurg Psychiatry 2012 83: 6-14</w:t>
      </w:r>
      <w:r>
        <w:rPr>
          <w:rFonts w:ascii="Times" w:hAnsi="Times" w:cs="Times"/>
          <w:noProof/>
          <w:lang w:val="es-ES"/>
        </w:rPr>
        <w:t>.</w:t>
      </w:r>
    </w:p>
    <w:p w14:paraId="4AD62DE7" w14:textId="77777777" w:rsidR="00E772B8" w:rsidRDefault="00E772B8" w:rsidP="00E772B8">
      <w:pPr>
        <w:rPr>
          <w:rFonts w:ascii="Times" w:hAnsi="Times" w:cs="Times"/>
          <w:noProof/>
          <w:lang w:val="es-ES"/>
        </w:rPr>
      </w:pPr>
    </w:p>
    <w:p w14:paraId="15ABCE23" w14:textId="37BB1C84" w:rsidR="00E772B8" w:rsidRDefault="00E772B8" w:rsidP="00E772B8">
      <w:pPr>
        <w:rPr>
          <w:rFonts w:ascii="Times" w:hAnsi="Times" w:cs="Times"/>
          <w:noProof/>
          <w:lang w:val="es-ES"/>
        </w:rPr>
      </w:pPr>
      <w:r w:rsidRPr="00E772B8">
        <w:rPr>
          <w:rFonts w:ascii="Times" w:hAnsi="Times" w:cs="Times"/>
          <w:noProof/>
          <w:lang w:val="es-ES"/>
        </w:rPr>
        <w:t>Dierick I, Baets J, Irobi J, et al. Relative contribution of mutations in genes for autosomal dominant distal hereditary motor neuropathies: a genotypeephenotype correlation study. Brain 2008;131:1217e27.</w:t>
      </w:r>
    </w:p>
    <w:p w14:paraId="138FC3D0" w14:textId="77777777" w:rsidR="00E772B8" w:rsidRDefault="00E772B8" w:rsidP="00E772B8">
      <w:pPr>
        <w:rPr>
          <w:rFonts w:ascii="Times" w:hAnsi="Times" w:cs="Times"/>
          <w:noProof/>
          <w:lang w:val="es-ES"/>
        </w:rPr>
      </w:pPr>
    </w:p>
    <w:p w14:paraId="693A8AEB" w14:textId="125BA2C1" w:rsidR="00E772B8" w:rsidRDefault="00E772B8" w:rsidP="00E772B8">
      <w:pPr>
        <w:rPr>
          <w:rFonts w:ascii="Times" w:hAnsi="Times" w:cs="Times"/>
          <w:noProof/>
          <w:lang w:val="es-ES"/>
        </w:rPr>
      </w:pPr>
      <w:r w:rsidRPr="00E772B8">
        <w:rPr>
          <w:rFonts w:ascii="Times" w:hAnsi="Times" w:cs="Times"/>
          <w:noProof/>
          <w:lang w:val="es-ES"/>
        </w:rPr>
        <w:t>Udd B.</w:t>
      </w:r>
      <w:r w:rsidRPr="00E772B8">
        <w:rPr>
          <w:rFonts w:ascii="Times" w:hAnsi="Times" w:cs="Times"/>
          <w:noProof/>
          <w:lang w:val="es-ES"/>
        </w:rPr>
        <w:t xml:space="preserve"> </w:t>
      </w:r>
      <w:r w:rsidRPr="00E772B8">
        <w:rPr>
          <w:rFonts w:ascii="Times" w:hAnsi="Times" w:cs="Times"/>
          <w:noProof/>
          <w:lang w:val="es-ES"/>
        </w:rPr>
        <w:t>Distal myopathies--new genetic entities expand diagnostic challenge.</w:t>
      </w:r>
    </w:p>
    <w:p w14:paraId="3E0F8534" w14:textId="0A421DA2" w:rsidR="00E772B8" w:rsidRPr="00E772B8" w:rsidRDefault="00E772B8" w:rsidP="00E772B8">
      <w:pPr>
        <w:rPr>
          <w:rFonts w:ascii="Times" w:hAnsi="Times" w:cs="Times"/>
          <w:noProof/>
          <w:lang w:val="es-ES"/>
        </w:rPr>
      </w:pPr>
      <w:r>
        <w:rPr>
          <w:rFonts w:ascii="Times" w:hAnsi="Times" w:cs="Times"/>
          <w:noProof/>
          <w:lang w:val="es-ES"/>
        </w:rPr>
        <w:t>Neuromuscul Disord. 2012</w:t>
      </w:r>
      <w:bookmarkStart w:id="0" w:name="_GoBack"/>
      <w:bookmarkEnd w:id="0"/>
      <w:r w:rsidRPr="00E772B8">
        <w:rPr>
          <w:rFonts w:ascii="Times" w:hAnsi="Times" w:cs="Times"/>
          <w:noProof/>
          <w:lang w:val="es-ES"/>
        </w:rPr>
        <w:t xml:space="preserve">;22(1):5-12. </w:t>
      </w:r>
    </w:p>
    <w:p w14:paraId="7475FC05" w14:textId="3CD0E676" w:rsidR="00E772B8" w:rsidRPr="00E772B8" w:rsidRDefault="00E772B8" w:rsidP="00E772B8">
      <w:pPr>
        <w:rPr>
          <w:rFonts w:ascii="Times" w:hAnsi="Times" w:cs="Times"/>
          <w:noProof/>
          <w:lang w:val="es-ES"/>
        </w:rPr>
      </w:pPr>
    </w:p>
    <w:p w14:paraId="67BD18AA" w14:textId="77777777" w:rsidR="00E772B8" w:rsidRPr="00E772B8" w:rsidRDefault="00E772B8">
      <w:pPr>
        <w:rPr>
          <w:sz w:val="20"/>
          <w:szCs w:val="20"/>
        </w:rPr>
      </w:pPr>
    </w:p>
    <w:sectPr w:rsidR="00E772B8" w:rsidRPr="00E772B8" w:rsidSect="007C5BD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92"/>
    <w:rsid w:val="0012544F"/>
    <w:rsid w:val="001508D6"/>
    <w:rsid w:val="002977D8"/>
    <w:rsid w:val="00305F7C"/>
    <w:rsid w:val="00374E8D"/>
    <w:rsid w:val="003A7C65"/>
    <w:rsid w:val="005E4792"/>
    <w:rsid w:val="00646DC5"/>
    <w:rsid w:val="0067114A"/>
    <w:rsid w:val="007C5BDA"/>
    <w:rsid w:val="00965747"/>
    <w:rsid w:val="00A34E97"/>
    <w:rsid w:val="00A82ECF"/>
    <w:rsid w:val="00BF2F28"/>
    <w:rsid w:val="00C033C2"/>
    <w:rsid w:val="00C468A3"/>
    <w:rsid w:val="00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A75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Gerardo Gutiérrez Gutiérrez</cp:lastModifiedBy>
  <cp:revision>2</cp:revision>
  <dcterms:created xsi:type="dcterms:W3CDTF">2013-05-20T19:07:00Z</dcterms:created>
  <dcterms:modified xsi:type="dcterms:W3CDTF">2013-05-20T19:07:00Z</dcterms:modified>
</cp:coreProperties>
</file>